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36D22" w14:textId="5D5503E7" w:rsidR="006777C7" w:rsidRPr="00180C0D" w:rsidRDefault="001F6984" w:rsidP="00234151">
      <w:pPr>
        <w:jc w:val="center"/>
        <w:rPr>
          <w:rFonts w:ascii="Century Gothic" w:hAnsi="Century Gothic"/>
          <w:b/>
          <w:bCs/>
          <w:color w:val="0070C0"/>
        </w:rPr>
      </w:pPr>
      <w:r w:rsidRPr="00234151">
        <w:rPr>
          <w:rFonts w:ascii="Century Gothic" w:hAnsi="Century Gothic"/>
          <w:b/>
          <w:bCs/>
          <w:color w:val="0070C0"/>
        </w:rPr>
        <w:t>PRINCIPIOS GENERALES DEL SISTEMA CANAL DENUNCIAS</w:t>
      </w:r>
    </w:p>
    <w:p w14:paraId="0B576F61" w14:textId="33F73FC3" w:rsidR="00180C0D" w:rsidRPr="00180C0D" w:rsidRDefault="00180C0D" w:rsidP="006777C7">
      <w:pPr>
        <w:jc w:val="both"/>
        <w:rPr>
          <w:rFonts w:ascii="Century Gothic" w:hAnsi="Century Gothic"/>
          <w:sz w:val="19"/>
          <w:szCs w:val="19"/>
        </w:rPr>
      </w:pPr>
      <w:r w:rsidRPr="00180C0D">
        <w:rPr>
          <w:rFonts w:ascii="Century Gothic" w:hAnsi="Century Gothic"/>
          <w:sz w:val="19"/>
          <w:szCs w:val="19"/>
        </w:rPr>
        <w:t>En el marco de su compromiso con el cumplimiento normativo, Asociación Salud Mental Lorca (ASOFEM) promueve el comportamiento ético de todas las personas que se relacionan con la Entidad, velando por el cumplimiento de la legislación aplicable a sus actividades y de su normativa interna.</w:t>
      </w:r>
    </w:p>
    <w:p w14:paraId="7B1A83E1" w14:textId="0D6900C9" w:rsidR="006777C7" w:rsidRPr="00180C0D" w:rsidRDefault="00180C0D" w:rsidP="006777C7">
      <w:pPr>
        <w:jc w:val="both"/>
        <w:rPr>
          <w:rFonts w:ascii="Century Gothic" w:hAnsi="Century Gothic"/>
          <w:sz w:val="19"/>
          <w:szCs w:val="19"/>
        </w:rPr>
      </w:pPr>
      <w:r w:rsidRPr="00180C0D">
        <w:rPr>
          <w:rFonts w:ascii="Century Gothic" w:hAnsi="Century Gothic"/>
          <w:sz w:val="19"/>
          <w:szCs w:val="19"/>
        </w:rPr>
        <w:t>El Código Ético y el Código de Conducta de ASOFEM recogen los principios y normas que deben orientar la actuación de las personas vinculadas a la Entidad. La integridad, el respeto a la legalidad y la prevención de conductas irregulares constituyen elementos esenciales de su cultura de cumplimiento.</w:t>
      </w:r>
    </w:p>
    <w:p w14:paraId="40CE3019" w14:textId="6333CDD2" w:rsidR="00180C0D" w:rsidRPr="00180C0D" w:rsidRDefault="00180C0D" w:rsidP="006777C7">
      <w:pPr>
        <w:jc w:val="both"/>
        <w:rPr>
          <w:rFonts w:ascii="Century Gothic" w:hAnsi="Century Gothic"/>
          <w:sz w:val="19"/>
          <w:szCs w:val="19"/>
        </w:rPr>
      </w:pPr>
      <w:r w:rsidRPr="00180C0D">
        <w:rPr>
          <w:rFonts w:ascii="Century Gothic" w:hAnsi="Century Gothic"/>
          <w:sz w:val="19"/>
          <w:szCs w:val="19"/>
        </w:rPr>
        <w:t>Con su Política de Compliance, ASOFEM declara su compromiso con la función de cumplimiento normativo, entendiendo que ello supone no solo cumplir con las leyes y normas internas aplicables, sino también promover una cultura ética y de integridad en su actividad diaria.</w:t>
      </w:r>
    </w:p>
    <w:p w14:paraId="528B325D" w14:textId="3E2EAE6F" w:rsidR="00180C0D" w:rsidRPr="00180C0D" w:rsidRDefault="00180C0D" w:rsidP="006777C7">
      <w:pPr>
        <w:jc w:val="both"/>
        <w:rPr>
          <w:rFonts w:ascii="Century Gothic" w:hAnsi="Century Gothic"/>
          <w:sz w:val="19"/>
          <w:szCs w:val="19"/>
        </w:rPr>
      </w:pPr>
      <w:r w:rsidRPr="00180C0D">
        <w:rPr>
          <w:rFonts w:ascii="Century Gothic" w:hAnsi="Century Gothic"/>
          <w:sz w:val="19"/>
          <w:szCs w:val="19"/>
        </w:rPr>
        <w:t>La función de compliance tiene carácter transversal y en ella participan, dentro de sus respectivas responsabilidades, los órganos de dirección, las personas trabajadoras, voluntarias, colaboradoras, en prácticas y, en general, quienes mantengan una relación profesional o de servicios con ASOFEM.</w:t>
      </w:r>
    </w:p>
    <w:p w14:paraId="26B07C42" w14:textId="2789D28D" w:rsidR="00AA0717" w:rsidRPr="00180C0D" w:rsidRDefault="00180C0D" w:rsidP="006777C7">
      <w:pPr>
        <w:jc w:val="both"/>
        <w:rPr>
          <w:rFonts w:ascii="Century Gothic" w:hAnsi="Century Gothic"/>
          <w:sz w:val="19"/>
          <w:szCs w:val="19"/>
        </w:rPr>
      </w:pPr>
      <w:r w:rsidRPr="00180C0D">
        <w:rPr>
          <w:rFonts w:ascii="Century Gothic" w:hAnsi="Century Gothic"/>
          <w:sz w:val="19"/>
          <w:szCs w:val="19"/>
        </w:rPr>
        <w:t>Con esta política, ASOFEM refuerza su compromiso con los valores, principios y normas de conducta recogidos en su Código Ético y Código de Conducta, que constituyen la base de su modelo de cumplimiento.</w:t>
      </w:r>
    </w:p>
    <w:p w14:paraId="7E55D9BD" w14:textId="7B1186AC" w:rsidR="00AA0717" w:rsidRPr="00234151" w:rsidRDefault="00180C0D" w:rsidP="006777C7">
      <w:pPr>
        <w:jc w:val="both"/>
        <w:rPr>
          <w:rFonts w:ascii="Century Gothic" w:hAnsi="Century Gothic"/>
          <w:sz w:val="19"/>
          <w:szCs w:val="19"/>
        </w:rPr>
      </w:pPr>
      <w:r w:rsidRPr="00180C0D">
        <w:rPr>
          <w:rFonts w:ascii="Century Gothic" w:hAnsi="Century Gothic"/>
          <w:sz w:val="19"/>
          <w:szCs w:val="19"/>
        </w:rPr>
        <w:t>El Canal de Denuncias tiene por objeto facilitar la comunicación de posibles irregularidades o incumplimientos de la normativa interna de ASOFEM, así como de las acciones u omisiones incluidas en el ámbito de aplicación de la Ley 2/2023, de 20 de febrero, reguladora de la protección de las personas que informen sobre infracciones normativas y de lucha contra la corrupción.</w:t>
      </w:r>
    </w:p>
    <w:p w14:paraId="13DF67B5" w14:textId="4F3D06D3" w:rsidR="00AA0717" w:rsidRPr="00234151" w:rsidRDefault="006777C7" w:rsidP="006777C7">
      <w:pPr>
        <w:jc w:val="both"/>
        <w:rPr>
          <w:rFonts w:ascii="Century Gothic" w:hAnsi="Century Gothic"/>
          <w:sz w:val="19"/>
          <w:szCs w:val="19"/>
        </w:rPr>
      </w:pPr>
      <w:r w:rsidRPr="00234151">
        <w:rPr>
          <w:rFonts w:ascii="Century Gothic" w:hAnsi="Century Gothic"/>
          <w:sz w:val="19"/>
          <w:szCs w:val="19"/>
        </w:rPr>
        <w:t>En consonancia con la normativa aplicable y, en particular, con la Ley 2/2023, de 20 de febrero, el Canal de Denuncias se configura como un medio seguro y confidencial para la recepción y tramitación de comunicaciones.</w:t>
      </w:r>
    </w:p>
    <w:p w14:paraId="5219E05A" w14:textId="415A77D4" w:rsidR="007E060D" w:rsidRPr="00234151" w:rsidRDefault="001F6984" w:rsidP="006777C7">
      <w:pPr>
        <w:jc w:val="both"/>
        <w:rPr>
          <w:rFonts w:ascii="Century Gothic" w:hAnsi="Century Gothic"/>
          <w:sz w:val="19"/>
          <w:szCs w:val="19"/>
        </w:rPr>
      </w:pPr>
      <w:r w:rsidRPr="00234151">
        <w:rPr>
          <w:rFonts w:ascii="Century Gothic" w:hAnsi="Century Gothic"/>
          <w:sz w:val="19"/>
          <w:szCs w:val="19"/>
        </w:rPr>
        <w:t>El Canal de Denuncias de ASOFEM funciona conforme a los siguientes principios:</w:t>
      </w:r>
    </w:p>
    <w:p w14:paraId="64638F0F" w14:textId="52C72700" w:rsidR="00F175F9" w:rsidRPr="00234151" w:rsidRDefault="001F6984" w:rsidP="00234151">
      <w:pPr>
        <w:pStyle w:val="Prrafodelista"/>
        <w:numPr>
          <w:ilvl w:val="0"/>
          <w:numId w:val="5"/>
        </w:numPr>
        <w:jc w:val="both"/>
        <w:rPr>
          <w:rFonts w:ascii="Century Gothic" w:hAnsi="Century Gothic"/>
          <w:sz w:val="19"/>
          <w:szCs w:val="19"/>
        </w:rPr>
      </w:pPr>
      <w:r w:rsidRPr="00234151">
        <w:rPr>
          <w:rFonts w:ascii="Century Gothic" w:hAnsi="Century Gothic"/>
          <w:sz w:val="19"/>
          <w:szCs w:val="19"/>
        </w:rPr>
        <w:t>Garantía de confidencialidad de la identidad de la persona informante y de cualquier tercero mencionado en la comunicación, así como de las actuaciones de gestión e investigación. Las comunicaciones podrán presentarse por escrito o verbalmente y podrán ser anónimas.</w:t>
      </w:r>
    </w:p>
    <w:p w14:paraId="5D5DF389" w14:textId="7A04B765" w:rsidR="00234151" w:rsidRPr="00234151" w:rsidRDefault="001F6984" w:rsidP="00234151">
      <w:pPr>
        <w:pStyle w:val="Prrafodelista"/>
        <w:numPr>
          <w:ilvl w:val="0"/>
          <w:numId w:val="5"/>
        </w:numPr>
        <w:jc w:val="both"/>
        <w:rPr>
          <w:rFonts w:ascii="Century Gothic" w:hAnsi="Century Gothic"/>
          <w:sz w:val="19"/>
          <w:szCs w:val="19"/>
        </w:rPr>
      </w:pPr>
      <w:r w:rsidRPr="00234151">
        <w:rPr>
          <w:rFonts w:ascii="Century Gothic" w:hAnsi="Century Gothic"/>
          <w:sz w:val="19"/>
          <w:szCs w:val="19"/>
        </w:rPr>
        <w:t>Protección frente a represalias. Se prohíbe cualquier acto u omisión que pueda constituir represalia, amenaza o tentativa de represalia contra la persona informante por haber realizado una comunicación de buena fe.</w:t>
      </w:r>
    </w:p>
    <w:p w14:paraId="2BC97AC2" w14:textId="06F76EAF" w:rsidR="00AA0717" w:rsidRPr="00234151" w:rsidRDefault="001F6984" w:rsidP="00234151">
      <w:pPr>
        <w:pStyle w:val="Prrafodelista"/>
        <w:numPr>
          <w:ilvl w:val="0"/>
          <w:numId w:val="5"/>
        </w:numPr>
        <w:jc w:val="both"/>
        <w:rPr>
          <w:rFonts w:ascii="Century Gothic" w:hAnsi="Century Gothic"/>
          <w:sz w:val="19"/>
          <w:szCs w:val="19"/>
        </w:rPr>
      </w:pPr>
      <w:r w:rsidRPr="00234151">
        <w:rPr>
          <w:rFonts w:ascii="Century Gothic" w:hAnsi="Century Gothic"/>
          <w:sz w:val="19"/>
          <w:szCs w:val="19"/>
        </w:rPr>
        <w:t>Respeto a la presunción de inocencia, al derecho de defensa, al derecho al honor y a los demás derechos de las personas afectadas durante la tramitación e investigación de las comunicaciones.</w:t>
      </w:r>
    </w:p>
    <w:p w14:paraId="6C089A9E" w14:textId="0237A534" w:rsidR="006777C7" w:rsidRPr="00234151" w:rsidRDefault="006777C7" w:rsidP="00234151">
      <w:pPr>
        <w:pStyle w:val="Prrafodelista"/>
        <w:numPr>
          <w:ilvl w:val="0"/>
          <w:numId w:val="5"/>
        </w:numPr>
        <w:jc w:val="both"/>
        <w:rPr>
          <w:rFonts w:ascii="Century Gothic" w:hAnsi="Century Gothic"/>
          <w:sz w:val="19"/>
          <w:szCs w:val="19"/>
        </w:rPr>
      </w:pPr>
      <w:r w:rsidRPr="00234151">
        <w:rPr>
          <w:rFonts w:ascii="Century Gothic" w:hAnsi="Century Gothic"/>
          <w:sz w:val="19"/>
          <w:szCs w:val="19"/>
        </w:rPr>
        <w:t>Derecho a la información y protección de datos. La información se tratará únicamente por las personas autorizadas y con las garantías de seguridad, confidencialidad y minimización exigibles. Cuando sea posible, la persona informante será informada de la recepción y del resultado de las actuaciones en los términos legalmente previstos.</w:t>
      </w:r>
    </w:p>
    <w:p w14:paraId="1D5FA68C" w14:textId="23130071" w:rsidR="00234151" w:rsidRPr="00234151" w:rsidRDefault="001F6984" w:rsidP="00234151">
      <w:pPr>
        <w:pStyle w:val="Prrafodelista"/>
        <w:numPr>
          <w:ilvl w:val="0"/>
          <w:numId w:val="5"/>
        </w:numPr>
        <w:jc w:val="both"/>
        <w:rPr>
          <w:rFonts w:ascii="Century Gothic" w:hAnsi="Century Gothic"/>
          <w:sz w:val="19"/>
          <w:szCs w:val="19"/>
        </w:rPr>
      </w:pPr>
      <w:r w:rsidRPr="00234151">
        <w:rPr>
          <w:rFonts w:ascii="Century Gothic" w:hAnsi="Century Gothic"/>
          <w:sz w:val="19"/>
          <w:szCs w:val="19"/>
        </w:rPr>
        <w:t>Garantía de independencia, autonomía, imparcialidad y ausencia de conflictos de interés en la gestión del Canal de Denuncias y en la actuación de la persona Responsable del Canal.</w:t>
      </w:r>
    </w:p>
    <w:p w14:paraId="42FC4CEE" w14:textId="6F918F6B" w:rsidR="001F6984" w:rsidRPr="00234151" w:rsidRDefault="001F6984" w:rsidP="00234151">
      <w:pPr>
        <w:pStyle w:val="Prrafodelista"/>
        <w:numPr>
          <w:ilvl w:val="0"/>
          <w:numId w:val="5"/>
        </w:numPr>
        <w:jc w:val="both"/>
        <w:rPr>
          <w:rFonts w:ascii="Century Gothic" w:hAnsi="Century Gothic"/>
          <w:sz w:val="19"/>
          <w:szCs w:val="19"/>
        </w:rPr>
      </w:pPr>
      <w:r w:rsidRPr="00234151">
        <w:rPr>
          <w:rFonts w:ascii="Century Gothic" w:hAnsi="Century Gothic"/>
          <w:sz w:val="19"/>
          <w:szCs w:val="19"/>
        </w:rPr>
        <w:t xml:space="preserve">Tramitación efectiva de las comunicaciones de acuerdo con el Protocolo del Canal de Denuncias de ASOFEM. Las personas informantes podrán asimismo acudir al canal </w:t>
      </w:r>
      <w:r w:rsidRPr="00234151">
        <w:rPr>
          <w:rFonts w:ascii="Century Gothic" w:hAnsi="Century Gothic"/>
          <w:sz w:val="19"/>
          <w:szCs w:val="19"/>
        </w:rPr>
        <w:lastRenderedPageBreak/>
        <w:t>externo de información de la Autoridad Independiente de Protección del Informante (A.A.I.), sin perjuicio de otros canales externos que resulten competentes.</w:t>
      </w:r>
    </w:p>
    <w:sectPr w:rsidR="001F6984" w:rsidRPr="00234151" w:rsidSect="00234151">
      <w:pgSz w:w="11906" w:h="16838"/>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54A91"/>
    <w:multiLevelType w:val="hybridMultilevel"/>
    <w:tmpl w:val="0DDC2702"/>
    <w:lvl w:ilvl="0" w:tplc="0C0A000B">
      <w:start w:val="1"/>
      <w:numFmt w:val="bullet"/>
      <w:lvlText w:val=""/>
      <w:lvlJc w:val="left"/>
      <w:pPr>
        <w:ind w:left="720" w:hanging="360"/>
      </w:pPr>
      <w:rPr>
        <w:rFonts w:ascii="Wingdings" w:hAnsi="Wingdings" w:cs="Wingdings" w:hint="default"/>
      </w:rPr>
    </w:lvl>
    <w:lvl w:ilvl="1" w:tplc="BD027CEE">
      <w:numFmt w:val="bullet"/>
      <w:lvlText w:val="•"/>
      <w:lvlJc w:val="left"/>
      <w:pPr>
        <w:ind w:left="1440" w:hanging="360"/>
      </w:pPr>
      <w:rPr>
        <w:rFonts w:ascii="Century Gothic" w:eastAsiaTheme="minorHAnsi" w:hAnsi="Century Gothic" w:cstheme="minorBid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2C02A79"/>
    <w:multiLevelType w:val="hybridMultilevel"/>
    <w:tmpl w:val="491C0E26"/>
    <w:lvl w:ilvl="0" w:tplc="0C0A000D">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 w15:restartNumberingAfterBreak="0">
    <w:nsid w:val="357056AB"/>
    <w:multiLevelType w:val="hybridMultilevel"/>
    <w:tmpl w:val="6ECCE5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545636D7"/>
    <w:multiLevelType w:val="hybridMultilevel"/>
    <w:tmpl w:val="EF4CB5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6B446916"/>
    <w:multiLevelType w:val="hybridMultilevel"/>
    <w:tmpl w:val="6F4875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86366943">
    <w:abstractNumId w:val="3"/>
  </w:num>
  <w:num w:numId="2" w16cid:durableId="47843063">
    <w:abstractNumId w:val="1"/>
  </w:num>
  <w:num w:numId="3" w16cid:durableId="978077035">
    <w:abstractNumId w:val="4"/>
  </w:num>
  <w:num w:numId="4" w16cid:durableId="1002707049">
    <w:abstractNumId w:val="2"/>
  </w:num>
  <w:num w:numId="5" w16cid:durableId="7017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0F"/>
    <w:rsid w:val="00051BB7"/>
    <w:rsid w:val="00180C0D"/>
    <w:rsid w:val="001F6984"/>
    <w:rsid w:val="00234151"/>
    <w:rsid w:val="00340BBA"/>
    <w:rsid w:val="00377A4E"/>
    <w:rsid w:val="003F5E8A"/>
    <w:rsid w:val="00416E02"/>
    <w:rsid w:val="006777C7"/>
    <w:rsid w:val="00781DBC"/>
    <w:rsid w:val="007C476F"/>
    <w:rsid w:val="007E060D"/>
    <w:rsid w:val="00805C4E"/>
    <w:rsid w:val="00AA0717"/>
    <w:rsid w:val="00AF7CBA"/>
    <w:rsid w:val="00C60721"/>
    <w:rsid w:val="00C94CA4"/>
    <w:rsid w:val="00CD1146"/>
    <w:rsid w:val="00CD580F"/>
    <w:rsid w:val="00E61968"/>
    <w:rsid w:val="00E6470F"/>
    <w:rsid w:val="00EB0484"/>
    <w:rsid w:val="00F175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1921"/>
  <w15:chartTrackingRefBased/>
  <w15:docId w15:val="{35C0A5E5-0F92-4389-AD1F-2F5BD804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0D"/>
  </w:style>
  <w:style w:type="paragraph" w:styleId="Ttulo2">
    <w:name w:val="heading 2"/>
    <w:basedOn w:val="Normal"/>
    <w:next w:val="Normal"/>
    <w:link w:val="Ttulo2Car"/>
    <w:uiPriority w:val="9"/>
    <w:unhideWhenUsed/>
    <w:qFormat/>
    <w:rsid w:val="00F175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6470F"/>
    <w:rPr>
      <w:color w:val="0563C1" w:themeColor="hyperlink"/>
      <w:u w:val="single"/>
    </w:rPr>
  </w:style>
  <w:style w:type="character" w:styleId="Mencinsinresolver">
    <w:name w:val="Unresolved Mention"/>
    <w:basedOn w:val="Fuentedeprrafopredeter"/>
    <w:uiPriority w:val="99"/>
    <w:semiHidden/>
    <w:unhideWhenUsed/>
    <w:rsid w:val="00E6470F"/>
    <w:rPr>
      <w:color w:val="605E5C"/>
      <w:shd w:val="clear" w:color="auto" w:fill="E1DFDD"/>
    </w:rPr>
  </w:style>
  <w:style w:type="character" w:customStyle="1" w:styleId="Ttulo2Car">
    <w:name w:val="Título 2 Car"/>
    <w:basedOn w:val="Fuentedeprrafopredeter"/>
    <w:link w:val="Ttulo2"/>
    <w:uiPriority w:val="9"/>
    <w:rsid w:val="00F175F9"/>
    <w:rPr>
      <w:rFonts w:asciiTheme="majorHAnsi" w:eastAsiaTheme="majorEastAsia" w:hAnsiTheme="majorHAnsi" w:cstheme="majorBidi"/>
      <w:color w:val="2F5496" w:themeColor="accent1" w:themeShade="BF"/>
      <w:sz w:val="26"/>
      <w:szCs w:val="26"/>
    </w:rPr>
  </w:style>
  <w:style w:type="paragraph" w:styleId="Prrafodelista">
    <w:name w:val="List Paragraph"/>
    <w:basedOn w:val="Normal"/>
    <w:uiPriority w:val="34"/>
    <w:qFormat/>
    <w:rsid w:val="00F175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3042</Characters>
  <Application>Microsoft Office Word</Application>
  <DocSecurity>4</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Saa</dc:creator>
  <cp:keywords/>
  <dc:description/>
  <cp:lastModifiedBy>PC</cp:lastModifiedBy>
  <cp:revision>2</cp:revision>
  <dcterms:created xsi:type="dcterms:W3CDTF">2026-10-14T08:57:00Z</dcterms:created>
  <dcterms:modified xsi:type="dcterms:W3CDTF">2026-10-14T08:57:00Z</dcterms:modified>
</cp:coreProperties>
</file>